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3AEF8">
      <w:pPr>
        <w:pStyle w:val="6"/>
      </w:pPr>
    </w:p>
    <w:p w14:paraId="7C330E64">
      <w:pPr>
        <w:pStyle w:val="6"/>
        <w:outlineLvl w:val="0"/>
        <w:rPr>
          <w:caps/>
          <w:sz w:val="36"/>
          <w:lang w:val="en-US"/>
        </w:rPr>
      </w:pPr>
      <w:r>
        <w:rPr>
          <w:caps/>
          <w:sz w:val="36"/>
          <w:lang w:val="en-US"/>
        </w:rPr>
        <w:t>Declaration of Conformity</w:t>
      </w:r>
    </w:p>
    <w:p w14:paraId="6488053F">
      <w:pPr>
        <w:jc w:val="center"/>
        <w:rPr>
          <w:rFonts w:ascii="Arial" w:hAnsi="Arial"/>
          <w:b/>
          <w:lang w:val="en-US"/>
        </w:rPr>
      </w:pPr>
    </w:p>
    <w:p w14:paraId="0005D156">
      <w:pPr>
        <w:jc w:val="center"/>
        <w:rPr>
          <w:rFonts w:ascii="Arial" w:hAnsi="Arial"/>
          <w:b/>
          <w:lang w:val="en-US"/>
        </w:rPr>
      </w:pPr>
    </w:p>
    <w:p w14:paraId="1DE9EC10">
      <w:pPr>
        <w:jc w:val="center"/>
        <w:rPr>
          <w:rFonts w:ascii="Arial" w:hAnsi="Arial"/>
          <w:b/>
          <w:lang w:val="en-US"/>
        </w:rPr>
      </w:pPr>
    </w:p>
    <w:p w14:paraId="73135A1F">
      <w:pPr>
        <w:spacing w:after="360"/>
        <w:jc w:val="both"/>
        <w:outlineLvl w:val="0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t>I hereby declare that the product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"/>
        <w:gridCol w:w="8505"/>
        <w:gridCol w:w="351"/>
      </w:tblGrid>
      <w:tr w14:paraId="2EA5FA5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26273677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5" w:type="dxa"/>
            <w:tcBorders>
              <w:bottom w:val="single" w:color="auto" w:sz="4" w:space="0"/>
            </w:tcBorders>
          </w:tcPr>
          <w:p w14:paraId="23669288">
            <w:pPr>
              <w:spacing w:line="240" w:lineRule="atLeast"/>
              <w:rPr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sz w:val="20"/>
                <w:lang w:val="en-US"/>
              </w:rPr>
              <w:t>Product Name:</w:t>
            </w:r>
            <w:r>
              <w:t xml:space="preserve"> </w:t>
            </w:r>
            <w:r>
              <w:rPr>
                <w:rFonts w:ascii="Arial" w:hAnsi="Arial" w:cs="Arial"/>
                <w:sz w:val="20"/>
                <w:lang w:val="en-US"/>
              </w:rPr>
              <w:t>Smartphone</w:t>
            </w:r>
          </w:p>
          <w:p w14:paraId="3F6FDD33">
            <w:pPr>
              <w:spacing w:line="240" w:lineRule="atLeast"/>
              <w:rPr>
                <w:rFonts w:hint="eastAsia" w:ascii="Arial" w:hAnsi="Arial" w:eastAsia="'宋体" w:cs="Arial"/>
                <w:color w:val="000000"/>
                <w:sz w:val="20"/>
                <w:lang w:val="en-US" w:eastAsia="zh-CN"/>
              </w:rPr>
            </w:pPr>
            <w:r>
              <w:rPr>
                <w:rFonts w:ascii="ArialMT" w:hAnsi="ArialMT" w:cs="ArialMT"/>
                <w:sz w:val="20"/>
                <w:lang w:val="en-US"/>
              </w:rPr>
              <w:t>Model</w:t>
            </w:r>
            <w:r>
              <w:rPr>
                <w:rFonts w:ascii="Arial" w:hAnsi="Arial" w:eastAsia="'宋体" w:cs="Arial"/>
                <w:color w:val="000000"/>
                <w:sz w:val="20"/>
                <w:lang w:val="en-US" w:eastAsia="zh-CN"/>
              </w:rPr>
              <w:t>:</w:t>
            </w:r>
            <w:r>
              <w:t xml:space="preserve"> </w:t>
            </w:r>
            <w:r>
              <w:rPr>
                <w:rFonts w:ascii="Arial" w:hAnsi="Arial" w:eastAsia="'宋体" w:cs="Arial"/>
                <w:color w:val="000000"/>
                <w:sz w:val="20"/>
                <w:lang w:val="en-US" w:eastAsia="zh-CN"/>
              </w:rPr>
              <w:t>ROCK 1</w:t>
            </w:r>
            <w:r>
              <w:rPr>
                <w:rFonts w:hint="eastAsia" w:ascii="Arial" w:hAnsi="Arial" w:eastAsia="'宋体" w:cs="Arial"/>
                <w:color w:val="000000"/>
                <w:sz w:val="20"/>
                <w:lang w:val="en-US" w:eastAsia="zh-CN"/>
              </w:rPr>
              <w:t>,</w:t>
            </w:r>
            <w:r>
              <w:rPr>
                <w:rFonts w:ascii="Arial" w:hAnsi="Arial" w:eastAsia="'宋体" w:cs="Arial"/>
                <w:color w:val="000000"/>
                <w:sz w:val="20"/>
                <w:lang w:val="en-US" w:eastAsia="zh-CN"/>
              </w:rPr>
              <w:t xml:space="preserve"> ROCK 1 Pro</w:t>
            </w:r>
          </w:p>
        </w:tc>
        <w:tc>
          <w:tcPr>
            <w:tcW w:w="351" w:type="dxa"/>
            <w:tcBorders>
              <w:bottom w:val="single" w:color="auto" w:sz="4" w:space="0"/>
            </w:tcBorders>
          </w:tcPr>
          <w:p w14:paraId="37B92422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</w:tr>
      <w:tr w14:paraId="2A617E3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68F9B96F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8505" w:type="dxa"/>
          </w:tcPr>
          <w:p w14:paraId="2C778726">
            <w:pPr>
              <w:spacing w:line="240" w:lineRule="atLeast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(Name of product, type or model, batch or serial number)</w:t>
            </w:r>
          </w:p>
        </w:tc>
        <w:tc>
          <w:tcPr>
            <w:tcW w:w="351" w:type="dxa"/>
          </w:tcPr>
          <w:p w14:paraId="2FA59CE4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</w:tr>
    </w:tbl>
    <w:p w14:paraId="6D7B940E">
      <w:pPr>
        <w:jc w:val="both"/>
        <w:rPr>
          <w:rFonts w:ascii="Arial" w:hAnsi="Arial"/>
          <w:sz w:val="20"/>
          <w:lang w:val="en-US"/>
        </w:rPr>
      </w:pPr>
    </w:p>
    <w:p w14:paraId="4E9BF9B0">
      <w:pPr>
        <w:jc w:val="both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t xml:space="preserve">satisfies all the technical regulations applicable to the product within the scope of Council </w:t>
      </w:r>
    </w:p>
    <w:p w14:paraId="5F30359C">
      <w:pPr>
        <w:jc w:val="both"/>
        <w:rPr>
          <w:rFonts w:ascii="Arial" w:hAnsi="Arial"/>
          <w:sz w:val="20"/>
          <w:lang w:val="en-US"/>
        </w:rPr>
      </w:pPr>
      <w:r>
        <w:rPr>
          <w:rFonts w:ascii="Arial" w:hAnsi="Arial"/>
          <w:sz w:val="20"/>
          <w:lang w:val="en-US"/>
        </w:rPr>
        <w:t>Directives 2014/53/EU:</w:t>
      </w:r>
      <w:r>
        <w:t xml:space="preserve"> </w:t>
      </w:r>
      <w:r>
        <w:rPr>
          <w:rFonts w:ascii="Arial" w:hAnsi="Arial"/>
          <w:sz w:val="20"/>
          <w:lang w:val="en-US"/>
        </w:rPr>
        <w:t>and declare that the same application has not been lodged with any other notified body.</w:t>
      </w:r>
    </w:p>
    <w:tbl>
      <w:tblPr>
        <w:tblStyle w:val="7"/>
        <w:tblW w:w="48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7228"/>
      </w:tblGrid>
      <w:tr w14:paraId="29D78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7" w:type="pct"/>
          </w:tcPr>
          <w:p w14:paraId="064AAB82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Essential Requirement(s)</w:t>
            </w:r>
          </w:p>
        </w:tc>
        <w:tc>
          <w:tcPr>
            <w:tcW w:w="3603" w:type="pct"/>
            <w:shd w:val="clear" w:color="auto" w:fill="auto"/>
          </w:tcPr>
          <w:p w14:paraId="484E2CE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lang w:val="en-US"/>
              </w:rPr>
              <w:t>Applied Specifications / Standards</w:t>
            </w:r>
          </w:p>
        </w:tc>
      </w:tr>
      <w:tr w14:paraId="509D8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restart"/>
            <w:vAlign w:val="center"/>
          </w:tcPr>
          <w:p w14:paraId="520C3446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Art. 3.2 Radio</w:t>
            </w:r>
          </w:p>
        </w:tc>
        <w:tc>
          <w:tcPr>
            <w:tcW w:w="3603" w:type="pct"/>
            <w:vMerge w:val="restart"/>
            <w:shd w:val="clear" w:color="auto" w:fill="auto"/>
            <w:vAlign w:val="center"/>
          </w:tcPr>
          <w:p w14:paraId="73CFA1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300 328 V2.2.2 (2019-07)</w:t>
            </w:r>
          </w:p>
          <w:p w14:paraId="7364F3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301 893 V2.1.1 (2017-05)</w:t>
            </w:r>
          </w:p>
          <w:p w14:paraId="789D6C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300 330 V2.1.1 (2017-02)</w:t>
            </w:r>
          </w:p>
          <w:p w14:paraId="6C4AF8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300 440 V2.2.1 (2018-07)</w:t>
            </w:r>
          </w:p>
          <w:p w14:paraId="7FBFD57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301 511 V12.5.1( 2017-03)</w:t>
            </w:r>
          </w:p>
          <w:p w14:paraId="5A2CF85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301 908-1 V15.2.1(2023-01)</w:t>
            </w:r>
          </w:p>
          <w:p w14:paraId="74C53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301 908-2 V13.1.1(2020-06)</w:t>
            </w:r>
          </w:p>
          <w:p w14:paraId="04E223D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301 908-13 V13.2.1(2022-02)</w:t>
            </w:r>
          </w:p>
          <w:p w14:paraId="35A157C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303 413 V1.2.1 (2021-04)</w:t>
            </w:r>
          </w:p>
          <w:p w14:paraId="6F548DB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303 345-1 V1.1.1 (2019-06)</w:t>
            </w:r>
          </w:p>
          <w:p w14:paraId="2F55AB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303 345-3 V1.1.1 (2021-06)</w:t>
            </w:r>
          </w:p>
        </w:tc>
      </w:tr>
      <w:tr w14:paraId="7EAA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657B7396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1C89411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7C396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18936232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39471F0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6D6F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restart"/>
            <w:vAlign w:val="center"/>
          </w:tcPr>
          <w:p w14:paraId="00BB3BBB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Art. 3.1(b) EMC</w:t>
            </w:r>
          </w:p>
        </w:tc>
        <w:tc>
          <w:tcPr>
            <w:tcW w:w="3603" w:type="pct"/>
            <w:vMerge w:val="restart"/>
            <w:shd w:val="clear" w:color="auto" w:fill="auto"/>
            <w:vAlign w:val="center"/>
          </w:tcPr>
          <w:p w14:paraId="76ED04E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301 489-1 V2.2.3 (2019-11)</w:t>
            </w:r>
          </w:p>
          <w:p w14:paraId="06C328D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301 489-3 V2.3.2 (2023-01)</w:t>
            </w:r>
          </w:p>
          <w:p w14:paraId="55BD88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301 489-17 V3.2.4 (2020-09)</w:t>
            </w:r>
          </w:p>
          <w:p w14:paraId="0E495E7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301 489-19 V2.2.1 (2022-09)</w:t>
            </w:r>
          </w:p>
          <w:p w14:paraId="3D8FD2A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ETSI EN 301 489-52 V1.2.1 (2021-11)</w:t>
            </w:r>
          </w:p>
          <w:p w14:paraId="1ED75D3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EN 55032:2015+A11:2020</w:t>
            </w:r>
          </w:p>
          <w:p w14:paraId="039742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EN 55035:2017+A11:2020</w:t>
            </w:r>
          </w:p>
          <w:p w14:paraId="0F043C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EN IEC 61000-3-2:2019+A1:2021</w:t>
            </w:r>
          </w:p>
          <w:p w14:paraId="31359EA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EN 61000-3-3:2013+A2:2021</w:t>
            </w:r>
          </w:p>
        </w:tc>
      </w:tr>
      <w:tr w14:paraId="6AA2B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563E96A6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66881F8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4904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223D3D08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6FB86AD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5CD42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restart"/>
            <w:vAlign w:val="center"/>
          </w:tcPr>
          <w:p w14:paraId="7D5FA7E4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Art. 3.1(a) Safety </w:t>
            </w:r>
          </w:p>
        </w:tc>
        <w:tc>
          <w:tcPr>
            <w:tcW w:w="3603" w:type="pct"/>
            <w:vMerge w:val="restart"/>
            <w:shd w:val="clear" w:color="auto" w:fill="auto"/>
            <w:vAlign w:val="center"/>
          </w:tcPr>
          <w:p w14:paraId="7FEAF03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t>EN IEC 62368-1:2020+A11:2020</w:t>
            </w:r>
          </w:p>
        </w:tc>
      </w:tr>
      <w:tr w14:paraId="3C437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73C27EAE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67C8F95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4AA8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continue"/>
            <w:vAlign w:val="center"/>
          </w:tcPr>
          <w:p w14:paraId="0FC50FAD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34739A8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</w:p>
        </w:tc>
      </w:tr>
      <w:tr w14:paraId="2AB9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1397" w:type="pct"/>
            <w:vMerge w:val="restart"/>
            <w:vAlign w:val="center"/>
          </w:tcPr>
          <w:p w14:paraId="11CD0A73">
            <w:pPr>
              <w:tabs>
                <w:tab w:val="left" w:pos="214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Art. 3.1 (a) Health</w:t>
            </w:r>
          </w:p>
        </w:tc>
        <w:tc>
          <w:tcPr>
            <w:tcW w:w="3603" w:type="pct"/>
            <w:vMerge w:val="restart"/>
            <w:shd w:val="clear" w:color="auto" w:fill="auto"/>
            <w:vAlign w:val="center"/>
          </w:tcPr>
          <w:p w14:paraId="65AB990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 50360:2017+A1:2023; EN 50566:2017+A1:2023</w:t>
            </w:r>
          </w:p>
          <w:p w14:paraId="7699047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 62209-1:2016; EN 62209-2:2010+A1:2019</w:t>
            </w:r>
          </w:p>
          <w:p w14:paraId="0EB3988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EN 50663:2017; EN 62479:2010</w:t>
            </w:r>
          </w:p>
        </w:tc>
      </w:tr>
      <w:tr w14:paraId="7AD6E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397" w:type="pct"/>
            <w:vMerge w:val="continue"/>
            <w:vAlign w:val="center"/>
          </w:tcPr>
          <w:p w14:paraId="56688FC2">
            <w:pPr>
              <w:tabs>
                <w:tab w:val="left" w:pos="21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138066A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  <w:tr w14:paraId="11310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397" w:type="pct"/>
            <w:vMerge w:val="continue"/>
            <w:vAlign w:val="center"/>
          </w:tcPr>
          <w:p w14:paraId="5B4E1E3A">
            <w:pPr>
              <w:tabs>
                <w:tab w:val="left" w:pos="2142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603" w:type="pct"/>
            <w:vMerge w:val="continue"/>
            <w:shd w:val="clear" w:color="auto" w:fill="auto"/>
            <w:vAlign w:val="center"/>
          </w:tcPr>
          <w:p w14:paraId="0DF7025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</w:p>
        </w:tc>
      </w:tr>
    </w:tbl>
    <w:p w14:paraId="12BB876A">
      <w:pPr>
        <w:jc w:val="both"/>
        <w:rPr>
          <w:rFonts w:ascii="Arial" w:hAnsi="Arial"/>
          <w:b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>All essential radio test suites have been carried out.</w:t>
      </w:r>
    </w:p>
    <w:p w14:paraId="53921329">
      <w:pPr>
        <w:jc w:val="both"/>
        <w:rPr>
          <w:rFonts w:ascii="Arial" w:hAnsi="Arial"/>
          <w:b/>
          <w:sz w:val="20"/>
          <w:lang w:val="en-US"/>
        </w:rPr>
      </w:pPr>
    </w:p>
    <w:p w14:paraId="0F3E80C1">
      <w:pPr>
        <w:pStyle w:val="2"/>
        <w:rPr>
          <w:b/>
          <w:bCs/>
          <w:spacing w:val="-1"/>
        </w:rPr>
      </w:pPr>
      <w:r>
        <w:rPr>
          <w:b/>
          <w:bCs/>
          <w:spacing w:val="-1"/>
        </w:rPr>
        <w:t>The submitted samples of the above equipment has been tested and found to comply with the following European Directives:</w:t>
      </w:r>
    </w:p>
    <w:p w14:paraId="01CC1039">
      <w:pPr>
        <w:pStyle w:val="2"/>
        <w:rPr>
          <w:rFonts w:hint="eastAsia" w:eastAsiaTheme="minorEastAsia"/>
          <w:b/>
          <w:bCs/>
          <w:spacing w:val="-1"/>
          <w:lang w:eastAsia="zh-CN"/>
        </w:rPr>
      </w:pPr>
      <w:r>
        <w:rPr>
          <w:b/>
          <w:bCs/>
          <w:spacing w:val="-1"/>
        </w:rPr>
        <w:t>RoHS Directive 2011/65/EU &amp; (EU) 2015/863</w:t>
      </w:r>
    </w:p>
    <w:p w14:paraId="76948902">
      <w:pPr>
        <w:jc w:val="both"/>
        <w:rPr>
          <w:rFonts w:ascii="Arial" w:hAnsi="Arial"/>
          <w:b/>
          <w:sz w:val="20"/>
          <w:lang w:val="en-US"/>
        </w:rPr>
      </w:pPr>
    </w:p>
    <w:p w14:paraId="3E7BCF63">
      <w:pPr>
        <w:jc w:val="both"/>
        <w:rPr>
          <w:rFonts w:ascii="Arial" w:hAnsi="Arial"/>
          <w:b/>
          <w:sz w:val="20"/>
          <w:lang w:val="en-US"/>
        </w:rPr>
      </w:pPr>
      <w:bookmarkStart w:id="0" w:name="_GoBack"/>
      <w:bookmarkEnd w:id="0"/>
    </w:p>
    <w:p w14:paraId="4D8600EF">
      <w:pPr>
        <w:jc w:val="both"/>
        <w:outlineLvl w:val="0"/>
        <w:rPr>
          <w:rFonts w:ascii="Arial" w:hAnsi="Arial"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>NOTIFIED BODY</w:t>
      </w:r>
      <w:r>
        <w:rPr>
          <w:rFonts w:ascii="Arial" w:hAnsi="Arial"/>
          <w:sz w:val="20"/>
          <w:lang w:val="en-US"/>
        </w:rPr>
        <w:t xml:space="preserve">:  MiCOM Labs Inc </w:t>
      </w:r>
    </w:p>
    <w:p w14:paraId="75E55ACD">
      <w:pPr>
        <w:numPr>
          <w:ilvl w:val="0"/>
          <w:numId w:val="1"/>
        </w:numPr>
        <w:tabs>
          <w:tab w:val="left" w:pos="284"/>
        </w:tabs>
        <w:spacing w:after="240"/>
        <w:ind w:left="284" w:hanging="284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Address</w:t>
      </w:r>
      <w:r>
        <w:rPr>
          <w:rFonts w:ascii="Arial" w:hAnsi="Arial"/>
          <w:sz w:val="20"/>
        </w:rPr>
        <w:t>: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"/>
        <w:gridCol w:w="4324"/>
      </w:tblGrid>
      <w:tr w14:paraId="1C52627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78E42E98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324" w:type="dxa"/>
          </w:tcPr>
          <w:p w14:paraId="564961B6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575 Boulder Court,</w:t>
            </w:r>
          </w:p>
        </w:tc>
      </w:tr>
      <w:tr w14:paraId="024367B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4618F72D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324" w:type="dxa"/>
            <w:tcBorders>
              <w:top w:val="single" w:color="auto" w:sz="4" w:space="0"/>
            </w:tcBorders>
          </w:tcPr>
          <w:p w14:paraId="18D2DA3D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Pleasanton, California 94566</w:t>
            </w:r>
          </w:p>
        </w:tc>
      </w:tr>
      <w:tr w14:paraId="615A820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27982CAA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324" w:type="dxa"/>
            <w:tcBorders>
              <w:top w:val="single" w:color="auto" w:sz="4" w:space="0"/>
            </w:tcBorders>
          </w:tcPr>
          <w:p w14:paraId="48E5017E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USA</w:t>
            </w:r>
          </w:p>
        </w:tc>
      </w:tr>
      <w:tr w14:paraId="2ED0DF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33A200D5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324" w:type="dxa"/>
            <w:tcBorders>
              <w:top w:val="single" w:color="auto" w:sz="4" w:space="0"/>
              <w:bottom w:val="single" w:color="auto" w:sz="4" w:space="0"/>
            </w:tcBorders>
          </w:tcPr>
          <w:p w14:paraId="7B3B3ED2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</w:rPr>
              <w:t>Identification Number: 2280</w:t>
            </w:r>
          </w:p>
        </w:tc>
      </w:tr>
    </w:tbl>
    <w:p w14:paraId="1DDDF37C">
      <w:pPr>
        <w:jc w:val="both"/>
        <w:rPr>
          <w:rFonts w:ascii="Arial" w:hAnsi="Arial"/>
          <w:b/>
          <w:sz w:val="20"/>
          <w:lang w:val="en-US"/>
        </w:rPr>
      </w:pPr>
    </w:p>
    <w:p w14:paraId="20A748E2">
      <w:pPr>
        <w:jc w:val="both"/>
        <w:rPr>
          <w:rFonts w:ascii="Arial" w:hAnsi="Arial"/>
          <w:b/>
          <w:sz w:val="20"/>
          <w:lang w:val="en-US"/>
        </w:rPr>
      </w:pPr>
    </w:p>
    <w:p w14:paraId="4D6D31EC">
      <w:pPr>
        <w:jc w:val="both"/>
        <w:outlineLvl w:val="0"/>
        <w:rPr>
          <w:rFonts w:ascii="Arial" w:hAnsi="Arial"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 xml:space="preserve">MANUFACTURER </w:t>
      </w:r>
      <w:r>
        <w:rPr>
          <w:rFonts w:ascii="Arial" w:hAnsi="Arial"/>
          <w:sz w:val="20"/>
          <w:lang w:val="en-US"/>
        </w:rPr>
        <w:t>or</w:t>
      </w:r>
      <w:r>
        <w:rPr>
          <w:rFonts w:ascii="Arial" w:hAnsi="Arial"/>
          <w:b/>
          <w:sz w:val="20"/>
          <w:lang w:val="en-US"/>
        </w:rPr>
        <w:t xml:space="preserve"> AUTHORISED REPRESENTATIVE</w:t>
      </w:r>
      <w:r>
        <w:rPr>
          <w:rFonts w:ascii="Arial" w:hAnsi="Arial"/>
          <w:sz w:val="20"/>
          <w:lang w:val="en-US"/>
        </w:rPr>
        <w:t>:</w:t>
      </w:r>
    </w:p>
    <w:p w14:paraId="4A755F0E">
      <w:pPr>
        <w:numPr>
          <w:ilvl w:val="0"/>
          <w:numId w:val="1"/>
        </w:numPr>
        <w:tabs>
          <w:tab w:val="left" w:pos="284"/>
        </w:tabs>
        <w:spacing w:after="240"/>
        <w:ind w:left="284" w:hanging="284"/>
        <w:jc w:val="both"/>
        <w:rPr>
          <w:rFonts w:ascii="Arial" w:hAnsi="Arial"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>Address</w:t>
      </w:r>
      <w:r>
        <w:rPr>
          <w:rFonts w:ascii="Arial" w:hAnsi="Arial"/>
          <w:sz w:val="20"/>
          <w:lang w:val="en-US"/>
        </w:rPr>
        <w:t>: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"/>
        <w:gridCol w:w="2126"/>
        <w:gridCol w:w="6734"/>
      </w:tblGrid>
      <w:tr w14:paraId="4BD3E5C3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  <w:tcBorders>
              <w:right w:val="single" w:color="auto" w:sz="4" w:space="0"/>
            </w:tcBorders>
          </w:tcPr>
          <w:p w14:paraId="7550D947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B4D9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MANUFACTURER:</w:t>
            </w:r>
          </w:p>
        </w:tc>
        <w:tc>
          <w:tcPr>
            <w:tcW w:w="6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B848C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Shenzhen DOKE Electronic Co., Ltd</w:t>
            </w:r>
          </w:p>
        </w:tc>
      </w:tr>
      <w:tr w14:paraId="2549D72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  <w:tcBorders>
              <w:right w:val="single" w:color="auto" w:sz="4" w:space="0"/>
            </w:tcBorders>
          </w:tcPr>
          <w:p w14:paraId="2D2EC916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36CB3">
            <w:pPr>
              <w:tabs>
                <w:tab w:val="left" w:pos="284"/>
              </w:tabs>
              <w:spacing w:after="240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b/>
                <w:sz w:val="20"/>
                <w:lang w:val="en-US"/>
              </w:rPr>
              <w:t>Address</w:t>
            </w:r>
            <w:r>
              <w:rPr>
                <w:rFonts w:ascii="Arial" w:hAnsi="Arial"/>
                <w:sz w:val="20"/>
                <w:lang w:val="en-US"/>
              </w:rPr>
              <w:t>:</w:t>
            </w:r>
          </w:p>
        </w:tc>
        <w:tc>
          <w:tcPr>
            <w:tcW w:w="6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757AD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801, Building3, 7th Industrial Zone, Yulv Community, Yutang Road, Guangming District, Shenzhen, China</w:t>
            </w:r>
          </w:p>
        </w:tc>
      </w:tr>
    </w:tbl>
    <w:p w14:paraId="70DF17B9">
      <w:pPr>
        <w:tabs>
          <w:tab w:val="left" w:pos="284"/>
        </w:tabs>
        <w:spacing w:before="360" w:after="240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>This declaration is issued under the sole responsibility of the manufacturer and, if applicable, his authorised representative.</w:t>
      </w:r>
    </w:p>
    <w:p w14:paraId="4602D4DB">
      <w:pPr>
        <w:tabs>
          <w:tab w:val="left" w:pos="284"/>
        </w:tabs>
        <w:spacing w:before="240" w:after="120"/>
        <w:outlineLvl w:val="0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Point of contact:</w:t>
      </w:r>
    </w:p>
    <w:tbl>
      <w:tblPr>
        <w:tblStyle w:val="7"/>
        <w:tblW w:w="0" w:type="auto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4"/>
        <w:gridCol w:w="3969"/>
        <w:gridCol w:w="425"/>
        <w:gridCol w:w="142"/>
        <w:gridCol w:w="3969"/>
        <w:gridCol w:w="11"/>
        <w:gridCol w:w="344"/>
      </w:tblGrid>
      <w:tr w14:paraId="17563C80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06BD1B7F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8505" w:type="dxa"/>
            <w:gridSpan w:val="4"/>
            <w:tcBorders>
              <w:bottom w:val="single" w:color="auto" w:sz="4" w:space="0"/>
            </w:tcBorders>
          </w:tcPr>
          <w:p w14:paraId="2A73A25A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Lynne Chen  +86-0755-6668278</w:t>
            </w:r>
          </w:p>
        </w:tc>
        <w:tc>
          <w:tcPr>
            <w:tcW w:w="355" w:type="dxa"/>
            <w:gridSpan w:val="2"/>
            <w:tcBorders>
              <w:bottom w:val="single" w:color="auto" w:sz="4" w:space="0"/>
            </w:tcBorders>
          </w:tcPr>
          <w:p w14:paraId="61D6713C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14:paraId="04A26C9E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6EA6BF60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4394" w:type="dxa"/>
            <w:gridSpan w:val="2"/>
          </w:tcPr>
          <w:p w14:paraId="0DA9CCFB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(Name, telephone and fax number)</w:t>
            </w:r>
          </w:p>
        </w:tc>
        <w:tc>
          <w:tcPr>
            <w:tcW w:w="4466" w:type="dxa"/>
            <w:gridSpan w:val="4"/>
          </w:tcPr>
          <w:p w14:paraId="736E4711">
            <w:pPr>
              <w:tabs>
                <w:tab w:val="left" w:pos="-1129"/>
                <w:tab w:val="left" w:pos="1895"/>
                <w:tab w:val="left" w:pos="5783"/>
                <w:tab w:val="left" w:pos="7367"/>
              </w:tabs>
              <w:spacing w:line="240" w:lineRule="atLeast"/>
              <w:jc w:val="both"/>
              <w:rPr>
                <w:rFonts w:ascii="Arial" w:hAnsi="Arial"/>
                <w:sz w:val="20"/>
                <w:lang w:val="en-US"/>
              </w:rPr>
            </w:pPr>
          </w:p>
        </w:tc>
      </w:tr>
      <w:tr w14:paraId="69314D2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525E02EB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969" w:type="dxa"/>
            <w:tcBorders>
              <w:bottom w:val="single" w:color="auto" w:sz="4" w:space="0"/>
            </w:tcBorders>
          </w:tcPr>
          <w:p w14:paraId="3CB2231D">
            <w:pPr>
              <w:spacing w:line="240" w:lineRule="atLeast"/>
              <w:rPr>
                <w:rFonts w:ascii="Courier New" w:hAnsi="Courier New"/>
                <w:sz w:val="18"/>
                <w:lang w:val="en-US"/>
              </w:rPr>
            </w:pPr>
          </w:p>
          <w:p w14:paraId="596216F2">
            <w:pPr>
              <w:spacing w:line="240" w:lineRule="atLeast"/>
              <w:rPr>
                <w:rFonts w:ascii="Courier New" w:hAnsi="Courier New"/>
                <w:sz w:val="18"/>
                <w:lang w:val="en-US"/>
              </w:rPr>
            </w:pPr>
          </w:p>
          <w:p w14:paraId="4310B82C">
            <w:pPr>
              <w:spacing w:line="240" w:lineRule="atLeast"/>
              <w:rPr>
                <w:rFonts w:ascii="Arial" w:hAnsi="Arial"/>
                <w:sz w:val="20"/>
              </w:rPr>
            </w:pPr>
            <w:r>
              <w:rPr>
                <w:rFonts w:hint="eastAsia" w:ascii="Arial" w:hAnsi="Arial" w:cs="Arial"/>
                <w:sz w:val="20"/>
                <w:lang w:eastAsia="zh-CN"/>
              </w:rPr>
              <w:t>Shenzhen</w:t>
            </w:r>
            <w:r>
              <w:rPr>
                <w:rFonts w:ascii="Arial" w:hAnsi="Arial" w:cs="Arial"/>
                <w:sz w:val="20"/>
                <w:lang w:eastAsia="zh-CN"/>
              </w:rPr>
              <w:t>, 2025-</w:t>
            </w:r>
            <w:r>
              <w:rPr>
                <w:rFonts w:ascii="Arial" w:hAnsi="Arial" w:cs="Arial"/>
                <w:sz w:val="20"/>
                <w:lang w:val="en-US" w:eastAsia="zh-CN"/>
              </w:rPr>
              <w:t>10</w:t>
            </w:r>
            <w:r>
              <w:rPr>
                <w:rFonts w:hint="eastAsia" w:ascii="Arial" w:hAnsi="Arial" w:cs="Arial"/>
                <w:sz w:val="20"/>
                <w:lang w:val="en-US" w:eastAsia="zh-CN"/>
              </w:rPr>
              <w:t>-</w:t>
            </w:r>
            <w:r>
              <w:rPr>
                <w:rFonts w:ascii="Arial" w:hAnsi="Arial" w:cs="Arial"/>
                <w:sz w:val="20"/>
                <w:lang w:val="en-US" w:eastAsia="zh-CN"/>
              </w:rPr>
              <w:t>20</w:t>
            </w:r>
          </w:p>
        </w:tc>
        <w:tc>
          <w:tcPr>
            <w:tcW w:w="567" w:type="dxa"/>
            <w:gridSpan w:val="2"/>
          </w:tcPr>
          <w:p w14:paraId="63E65A79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3980" w:type="dxa"/>
            <w:gridSpan w:val="2"/>
            <w:tcBorders>
              <w:bottom w:val="single" w:color="auto" w:sz="4" w:space="0"/>
            </w:tcBorders>
          </w:tcPr>
          <w:p w14:paraId="3B3CAF1B">
            <w:pPr>
              <w:spacing w:line="240" w:lineRule="atLeast"/>
              <w:jc w:val="center"/>
              <w:rPr>
                <w:rFonts w:ascii="Arial" w:hAnsi="Arial"/>
                <w:b/>
                <w:sz w:val="40"/>
              </w:rPr>
            </w:pPr>
            <w:r>
              <w:rPr>
                <w:lang w:val="en-US" w:eastAsia="zh-CN"/>
              </w:rPr>
              <w:drawing>
                <wp:inline distT="0" distB="0" distL="0" distR="0">
                  <wp:extent cx="791210" cy="322580"/>
                  <wp:effectExtent l="0" t="0" r="889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1281" cy="33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</w:tcPr>
          <w:p w14:paraId="1BB1BD4F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14:paraId="5256860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076BEF72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3969" w:type="dxa"/>
          </w:tcPr>
          <w:p w14:paraId="3FFD2923">
            <w:pPr>
              <w:spacing w:line="240" w:lineRule="atLeas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(Place, date of issue)</w:t>
            </w:r>
          </w:p>
        </w:tc>
        <w:tc>
          <w:tcPr>
            <w:tcW w:w="567" w:type="dxa"/>
            <w:gridSpan w:val="2"/>
          </w:tcPr>
          <w:p w14:paraId="3EFEF40C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3980" w:type="dxa"/>
            <w:gridSpan w:val="2"/>
          </w:tcPr>
          <w:p w14:paraId="15D7C6BD">
            <w:pPr>
              <w:spacing w:line="240" w:lineRule="atLeast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(Signature)</w:t>
            </w:r>
          </w:p>
        </w:tc>
        <w:tc>
          <w:tcPr>
            <w:tcW w:w="340" w:type="dxa"/>
          </w:tcPr>
          <w:p w14:paraId="7A01EA45">
            <w:pPr>
              <w:spacing w:line="240" w:lineRule="atLeast"/>
              <w:rPr>
                <w:rFonts w:ascii="Arial" w:hAnsi="Arial"/>
                <w:sz w:val="20"/>
              </w:rPr>
            </w:pPr>
          </w:p>
        </w:tc>
      </w:tr>
      <w:tr w14:paraId="0BE87A9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35BAA771">
            <w:pPr>
              <w:spacing w:before="240"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3969" w:type="dxa"/>
          </w:tcPr>
          <w:p w14:paraId="6E03FEB7">
            <w:pPr>
              <w:spacing w:before="240"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6623D37">
            <w:pPr>
              <w:spacing w:before="240" w:line="240" w:lineRule="atLeast"/>
              <w:rPr>
                <w:rFonts w:ascii="Arial" w:hAnsi="Arial"/>
                <w:sz w:val="20"/>
              </w:rPr>
            </w:pPr>
          </w:p>
        </w:tc>
        <w:tc>
          <w:tcPr>
            <w:tcW w:w="3980" w:type="dxa"/>
            <w:gridSpan w:val="2"/>
            <w:tcBorders>
              <w:bottom w:val="single" w:color="auto" w:sz="4" w:space="0"/>
            </w:tcBorders>
          </w:tcPr>
          <w:p w14:paraId="49F6A559">
            <w:pPr>
              <w:spacing w:before="240" w:line="240" w:lineRule="atLeast"/>
              <w:jc w:val="center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Lynne Chen /Manager</w:t>
            </w:r>
          </w:p>
        </w:tc>
        <w:tc>
          <w:tcPr>
            <w:tcW w:w="340" w:type="dxa"/>
          </w:tcPr>
          <w:p w14:paraId="0ABBD15F">
            <w:pPr>
              <w:spacing w:before="240" w:line="240" w:lineRule="atLeast"/>
              <w:rPr>
                <w:rFonts w:ascii="Arial" w:hAnsi="Arial"/>
                <w:sz w:val="20"/>
                <w:lang w:val="en-US"/>
              </w:rPr>
            </w:pPr>
          </w:p>
        </w:tc>
      </w:tr>
      <w:tr w14:paraId="728CB1F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54" w:type="dxa"/>
          </w:tcPr>
          <w:p w14:paraId="19340340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969" w:type="dxa"/>
          </w:tcPr>
          <w:p w14:paraId="77B0BFDF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473AB689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3980" w:type="dxa"/>
            <w:gridSpan w:val="2"/>
          </w:tcPr>
          <w:p w14:paraId="6A637F0D">
            <w:pPr>
              <w:spacing w:line="240" w:lineRule="atLeast"/>
              <w:jc w:val="center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(Name and title in block letters)</w:t>
            </w:r>
          </w:p>
        </w:tc>
        <w:tc>
          <w:tcPr>
            <w:tcW w:w="340" w:type="dxa"/>
          </w:tcPr>
          <w:p w14:paraId="39CF5813">
            <w:pPr>
              <w:spacing w:line="240" w:lineRule="atLeast"/>
              <w:rPr>
                <w:rFonts w:ascii="Arial" w:hAnsi="Arial"/>
                <w:sz w:val="20"/>
                <w:lang w:val="en-US"/>
              </w:rPr>
            </w:pPr>
          </w:p>
        </w:tc>
      </w:tr>
    </w:tbl>
    <w:p w14:paraId="4323F2C9">
      <w:pPr>
        <w:tabs>
          <w:tab w:val="left" w:pos="4537"/>
        </w:tabs>
        <w:rPr>
          <w:lang w:val="en-US"/>
        </w:rPr>
      </w:pPr>
    </w:p>
    <w:sectPr>
      <w:footerReference r:id="rId3" w:type="default"/>
      <w:pgSz w:w="12240" w:h="15840"/>
      <w:pgMar w:top="432" w:right="1008" w:bottom="662" w:left="100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'宋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M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176F3">
    <w:pPr>
      <w:pStyle w:val="4"/>
      <w:tabs>
        <w:tab w:val="left" w:pos="2268"/>
        <w:tab w:val="clear" w:pos="4819"/>
      </w:tabs>
      <w:rPr>
        <w:rStyle w:val="9"/>
        <w:sz w:val="16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decimal"/>
      <w:lvlText w:val="*"/>
      <w:lvlJc w:val="left"/>
    </w:lvl>
  </w:abstractNum>
  <w:num w:numId="1">
    <w:abstractNumId w:val="0"/>
    <w:lvlOverride w:ilvl="0">
      <w:lvl w:ilvl="0" w:tentative="1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9"/>
  <w:hyphenationZone w:val="425"/>
  <w:doNotHyphenateCaps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B9F"/>
    <w:rsid w:val="0000137B"/>
    <w:rsid w:val="000B3F9E"/>
    <w:rsid w:val="00103B9F"/>
    <w:rsid w:val="00170727"/>
    <w:rsid w:val="00245B87"/>
    <w:rsid w:val="00261AF6"/>
    <w:rsid w:val="00316FCD"/>
    <w:rsid w:val="003214B7"/>
    <w:rsid w:val="003B4BC8"/>
    <w:rsid w:val="00435FA6"/>
    <w:rsid w:val="004B49F1"/>
    <w:rsid w:val="004C2F8E"/>
    <w:rsid w:val="005D1913"/>
    <w:rsid w:val="0062648A"/>
    <w:rsid w:val="00657468"/>
    <w:rsid w:val="0066326C"/>
    <w:rsid w:val="006C48EC"/>
    <w:rsid w:val="006E3308"/>
    <w:rsid w:val="00756300"/>
    <w:rsid w:val="007614FB"/>
    <w:rsid w:val="007910E4"/>
    <w:rsid w:val="0082322A"/>
    <w:rsid w:val="008341B7"/>
    <w:rsid w:val="00844948"/>
    <w:rsid w:val="0085124C"/>
    <w:rsid w:val="00857A49"/>
    <w:rsid w:val="00895822"/>
    <w:rsid w:val="008B1291"/>
    <w:rsid w:val="008B66B0"/>
    <w:rsid w:val="00934F3C"/>
    <w:rsid w:val="00942B5E"/>
    <w:rsid w:val="00975E3F"/>
    <w:rsid w:val="009903FF"/>
    <w:rsid w:val="009C168B"/>
    <w:rsid w:val="00A2536C"/>
    <w:rsid w:val="00A40422"/>
    <w:rsid w:val="00A60D8A"/>
    <w:rsid w:val="00AC6661"/>
    <w:rsid w:val="00C376F2"/>
    <w:rsid w:val="00C62547"/>
    <w:rsid w:val="00C714C8"/>
    <w:rsid w:val="00CD29C6"/>
    <w:rsid w:val="00CE67E4"/>
    <w:rsid w:val="00D624D6"/>
    <w:rsid w:val="00DB580F"/>
    <w:rsid w:val="00DB59D3"/>
    <w:rsid w:val="00DE2C37"/>
    <w:rsid w:val="00EA6A1F"/>
    <w:rsid w:val="00FB34D4"/>
    <w:rsid w:val="00FF0899"/>
    <w:rsid w:val="7585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lang w:val="de-DE" w:eastAsia="en-US" w:bidi="ar-SA"/>
    </w:rPr>
  </w:style>
  <w:style w:type="paragraph" w:styleId="2">
    <w:name w:val="heading 1"/>
    <w:basedOn w:val="1"/>
    <w:qFormat/>
    <w:uiPriority w:val="1"/>
    <w:pPr>
      <w:ind w:left="120"/>
      <w:outlineLvl w:val="0"/>
    </w:pPr>
    <w:rPr>
      <w:rFonts w:ascii="Calibri" w:hAnsi="Calibri" w:eastAsia="Calibri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  <w:rPr>
      <w:rFonts w:ascii="Tahoma" w:hAnsi="Tahoma" w:cs="Tahoma"/>
      <w:sz w:val="20"/>
    </w:rPr>
  </w:style>
  <w:style w:type="paragraph" w:styleId="4">
    <w:name w:val="footer"/>
    <w:basedOn w:val="1"/>
    <w:qFormat/>
    <w:uiPriority w:val="0"/>
    <w:pPr>
      <w:tabs>
        <w:tab w:val="center" w:pos="4819"/>
        <w:tab w:val="right" w:pos="9071"/>
      </w:tabs>
      <w:jc w:val="both"/>
    </w:pPr>
    <w:rPr>
      <w:rFonts w:ascii="Arial" w:hAnsi="Arial"/>
      <w:sz w:val="20"/>
    </w:rPr>
  </w:style>
  <w:style w:type="paragraph" w:styleId="5">
    <w:name w:val="header"/>
    <w:basedOn w:val="1"/>
    <w:uiPriority w:val="0"/>
    <w:pPr>
      <w:tabs>
        <w:tab w:val="center" w:pos="4536"/>
        <w:tab w:val="right" w:pos="9072"/>
      </w:tabs>
    </w:pPr>
  </w:style>
  <w:style w:type="paragraph" w:styleId="6">
    <w:name w:val="Title"/>
    <w:basedOn w:val="1"/>
    <w:qFormat/>
    <w:uiPriority w:val="0"/>
    <w:pPr>
      <w:jc w:val="center"/>
    </w:pPr>
    <w:rPr>
      <w:rFonts w:ascii="Arial" w:hAnsi="Arial"/>
      <w:b/>
    </w:rPr>
  </w:style>
  <w:style w:type="character" w:styleId="9">
    <w:name w:val="page number"/>
    <w:basedOn w:val="8"/>
    <w:qFormat/>
    <w:uiPriority w:val="0"/>
  </w:style>
  <w:style w:type="paragraph" w:customStyle="1" w:styleId="10">
    <w:name w:val="Formatvorlage1"/>
    <w:basedOn w:val="1"/>
    <w:qFormat/>
    <w:uiPriority w:val="0"/>
    <w:pPr>
      <w:tabs>
        <w:tab w:val="left" w:pos="-553"/>
      </w:tabs>
      <w:spacing w:before="360" w:after="200" w:line="240" w:lineRule="atLeast"/>
      <w:ind w:left="567" w:right="23" w:hanging="567"/>
    </w:pPr>
    <w:rPr>
      <w:rFonts w:ascii="Arial" w:hAnsi="Arial"/>
      <w:b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TUV\TUV%20RNA\EMC%20Division\Notified%20Body\EMCC%20Dr.%20Rasek\R%26TTE%20directive%20forms\RTTE%20Declaration%20of%20Conformit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RTTE Declaration of Conformity.dot</Template>
  <Company>MiCOM Labs</Company>
  <Pages>2</Pages>
  <Words>289</Words>
  <Characters>1715</Characters>
  <Lines>14</Lines>
  <Paragraphs>4</Paragraphs>
  <TotalTime>1</TotalTime>
  <ScaleCrop>false</ScaleCrop>
  <LinksUpToDate>false</LinksUpToDate>
  <CharactersWithSpaces>1950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2018-06-27T00:09:00Z</dcterms:created>
  <dc:creator>MiCOM Labs Inc QMS</dc:creator>
  <cp:lastModifiedBy>1-1</cp:lastModifiedBy>
  <cp:lastPrinted>2008-07-22T16:46:00Z</cp:lastPrinted>
  <dcterms:modified xsi:type="dcterms:W3CDTF">2025-11-03T02:27:05Z</dcterms:modified>
  <dc:title>Declaration of conformity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eyJoZGlkIjoiNDhmYmMxNDdiYTE0OWI1ZTQ1YzRiNDRmNzMyM2QzYjEiLCJ1c2VySWQiOiI1MDk4MTY4ODUifQ==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77AA1E748A5143BDBCFA92035630D3A0_12</vt:lpwstr>
  </property>
</Properties>
</file>